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tabs>
          <w:tab w:val="left" w:pos="720"/>
        </w:tabs>
        <w:jc w:val="center"/>
        <w:rPr>
          <w:rFonts w:ascii="Calligraph421 BT" w:cs="Calligraph421 BT" w:hAnsi="Calligraph421 BT" w:eastAsia="Calligraph421 BT"/>
          <w:sz w:val="96"/>
          <w:szCs w:val="96"/>
        </w:rPr>
      </w:pPr>
      <w:r>
        <w:rPr>
          <w:rFonts w:ascii="Calligraph421 BT" w:cs="Calligraph421 BT" w:hAnsi="Calligraph421 BT" w:eastAsia="Calligraph421 BT"/>
          <w:sz w:val="96"/>
          <w:szCs w:val="96"/>
        </w:rPr>
        <mc:AlternateContent>
          <mc:Choice Requires="wpg">
            <w:drawing>
              <wp:inline distT="0" distB="0" distL="0" distR="0">
                <wp:extent cx="1209675" cy="666750"/>
                <wp:effectExtent l="0" t="0" r="0" b="0"/>
                <wp:docPr id="1073741827" name="officeArt object" descr="Imag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666750"/>
                          <a:chOff x="0" y="0"/>
                          <a:chExt cx="1209675" cy="6667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2096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66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95.2pt;height:52.5pt;" coordorigin="0,0" coordsize="1209675,666750">
                <v:rect id="_x0000_s1027" style="position:absolute;left:0;top:0;width:1209675;height:6667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209675;height:666750;">
                  <v:imagedata r:id="rId4" o:title="image1.pdf"/>
                </v:shape>
              </v:group>
            </w:pict>
          </mc:Fallback>
        </mc:AlternateContent>
      </w:r>
    </w:p>
    <w:p>
      <w:pPr>
        <w:pStyle w:val="Corps"/>
        <w:tabs>
          <w:tab w:val="left" w:pos="720"/>
        </w:tabs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Les Amis des Contamines-Montjoie</w:t>
      </w:r>
    </w:p>
    <w:p>
      <w:pPr>
        <w:pStyle w:val="Corps"/>
        <w:tabs>
          <w:tab w:val="left" w:pos="720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s"/>
        <w:jc w:val="center"/>
        <w:outlineLvl w:val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ASSEMBL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E 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de-DE"/>
        </w:rPr>
        <w:t>RALE DU 08 AO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Û</w:t>
      </w:r>
      <w:r>
        <w:rPr>
          <w:rFonts w:ascii="Times New Roman" w:hAnsi="Times New Roman"/>
          <w:sz w:val="28"/>
          <w:szCs w:val="28"/>
          <w:rtl w:val="0"/>
        </w:rPr>
        <w:t>T 2019</w:t>
      </w:r>
    </w:p>
    <w:p>
      <w:pPr>
        <w:pStyle w:val="Corps"/>
        <w:jc w:val="center"/>
        <w:outlineLvl w:val="0"/>
        <w:rPr>
          <w:rFonts w:ascii="Times" w:cs="Times" w:hAnsi="Times" w:eastAsia="Times"/>
          <w:sz w:val="24"/>
          <w:szCs w:val="24"/>
        </w:rPr>
      </w:pPr>
    </w:p>
    <w:p>
      <w:pPr>
        <w:pStyle w:val="Corps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       </w:t>
      </w:r>
      <w:r>
        <w:rPr>
          <w:sz w:val="28"/>
          <w:szCs w:val="28"/>
          <w:rtl w:val="0"/>
          <w:lang w:val="de-DE"/>
        </w:rPr>
        <w:t>RAPPORT FINANCIER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de-DE"/>
        </w:rPr>
        <w:t xml:space="preserve">: EVOLUTION DES ADHERENTS ET DES COMPTES 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cotisations encaiss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sur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coul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du 1er juillet 2018 au 30 juin 2019, enregistrent une baisse de 16 %, apr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une hausse de 5% en 2017-2018. Une trentaine de nos adh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rents n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taient toujours pas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jour de leur cotisation au 30/06/2019, malgr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les relances effectu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au printemps. Il faut donc esp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rer que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Assembl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rale sera, comme toujours,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occasion pour les retardataires de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gler ces cotisations manquantes.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7 nouveaux membres ont encore rejoint notre association au cours de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(apr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26 sur les deux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dentes). Le nombre des membres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jour de leur cotisation au 30/06/2019 s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vent donc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165 (vs 176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it-IT"/>
        </w:rPr>
        <w:t>an pass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).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penses courantes de notre association, sur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2018-2019, ont globalement diminu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>due proportion du recul des recettes engendr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les cotisations vers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es. Les frais notamment 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impression et 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acheminement des bulletins semestriels ont baiss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 liaison avec le recul du nombre 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adh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rents cotisants. Il en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sulte que le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sultat courant est quasiment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quilibre (-27,92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</w:rPr>
        <w:t xml:space="preserve">).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Deux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penses exceptionnelles ont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au cours de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coul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e, dont la plus importante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la refonte du site internet de notre association (pour la somme totale de 1321,46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  <w:lang w:val="fr-FR"/>
        </w:rPr>
        <w:t>, y compris la premi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it-IT"/>
        </w:rPr>
        <w:t>re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de maintenance informatique)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;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 xml:space="preserve">objectif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tant de le rendre plus convivial et facilement utilisable par les administrateurs pour la mise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jour des informations concernant notre association et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envoi des lettres num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riques mensuelles.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Du fait de ces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penses exceptionnelles, le report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nouveau baisse de 1.469,38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  <w:lang w:val="fr-FR"/>
        </w:rPr>
        <w:t>, ce qui porte les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serves de notre association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 xml:space="preserve">14.426,61 </w:t>
      </w:r>
      <w:r>
        <w:rPr>
          <w:sz w:val="24"/>
          <w:szCs w:val="24"/>
          <w:rtl w:val="0"/>
          <w:lang w:val="pt-PT"/>
        </w:rPr>
        <w:t xml:space="preserve">€ </w:t>
      </w:r>
      <w:r>
        <w:rPr>
          <w:sz w:val="24"/>
          <w:szCs w:val="24"/>
          <w:rtl w:val="0"/>
        </w:rPr>
        <w:t xml:space="preserve">(vs 15.995,99 </w:t>
      </w:r>
      <w:r>
        <w:rPr>
          <w:sz w:val="24"/>
          <w:szCs w:val="24"/>
          <w:rtl w:val="0"/>
          <w:lang w:val="pt-PT"/>
        </w:rPr>
        <w:t xml:space="preserve">€ </w:t>
      </w:r>
      <w:r>
        <w:rPr>
          <w:sz w:val="24"/>
          <w:szCs w:val="24"/>
          <w:rtl w:val="0"/>
        </w:rPr>
        <w:t>au 01/07/2018),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parties comme suit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Liquidit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: 612,68 </w:t>
      </w:r>
      <w:r>
        <w:rPr>
          <w:sz w:val="24"/>
          <w:szCs w:val="24"/>
          <w:rtl w:val="0"/>
          <w:lang w:val="pt-PT"/>
        </w:rPr>
        <w:t>€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Livret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: 9.330,33 </w:t>
      </w:r>
      <w:r>
        <w:rPr>
          <w:sz w:val="24"/>
          <w:szCs w:val="24"/>
          <w:rtl w:val="0"/>
          <w:lang w:val="pt-PT"/>
        </w:rPr>
        <w:t>€</w:t>
      </w:r>
    </w:p>
    <w:p>
      <w:pPr>
        <w:pStyle w:val="Corps"/>
      </w:pPr>
      <w:r>
        <w:rPr>
          <w:sz w:val="24"/>
          <w:szCs w:val="24"/>
          <w:rtl w:val="0"/>
          <w:lang w:val="fr-FR"/>
        </w:rPr>
        <w:t>Parts Sociales Banque Populaire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: 4.384 </w:t>
      </w:r>
      <w:r>
        <w:rPr>
          <w:sz w:val="24"/>
          <w:szCs w:val="24"/>
          <w:rtl w:val="0"/>
          <w:lang w:val="pt-PT"/>
        </w:rPr>
        <w:t>€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ligraph421 BT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